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C9" w:rsidRDefault="000232C9" w:rsidP="000232C9">
      <w:pPr>
        <w:pStyle w:val="2"/>
        <w:spacing w:before="199" w:beforeAutospacing="0" w:after="199" w:afterAutospacing="0"/>
        <w:rPr>
          <w:rFonts w:ascii="Arial" w:hAnsi="Arial" w:cs="Arial"/>
          <w:b w:val="0"/>
          <w:bCs w:val="0"/>
          <w:color w:val="336699"/>
          <w:sz w:val="32"/>
          <w:szCs w:val="32"/>
        </w:rPr>
      </w:pPr>
      <w:r>
        <w:rPr>
          <w:rFonts w:ascii="Arial" w:hAnsi="Arial" w:cs="Arial"/>
          <w:b w:val="0"/>
          <w:bCs w:val="0"/>
          <w:color w:val="336699"/>
          <w:sz w:val="32"/>
          <w:szCs w:val="32"/>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0232C9" w:rsidRDefault="000232C9" w:rsidP="000232C9">
      <w:pPr>
        <w:pStyle w:val="shorttitle-doc"/>
        <w:spacing w:before="0" w:beforeAutospacing="0" w:after="75" w:afterAutospacing="0" w:line="252" w:lineRule="atLeast"/>
        <w:rPr>
          <w:rFonts w:ascii="Arial" w:hAnsi="Arial" w:cs="Arial"/>
          <w:i/>
          <w:iCs/>
          <w:color w:val="8A7366"/>
          <w:sz w:val="18"/>
          <w:szCs w:val="18"/>
        </w:rPr>
      </w:pPr>
      <w:r>
        <w:rPr>
          <w:rFonts w:ascii="Arial" w:hAnsi="Arial" w:cs="Arial"/>
          <w:i/>
          <w:iCs/>
          <w:color w:val="8A7366"/>
          <w:sz w:val="18"/>
          <w:szCs w:val="18"/>
        </w:rPr>
        <w:t>(актуализирован в июле 2015 г., внесены дополнения по вопросу ответственности за подкуп иностранных должностных лиц)</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b/>
          <w:bCs/>
          <w:color w:val="000000"/>
          <w:sz w:val="18"/>
          <w:szCs w:val="18"/>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Pr>
          <w:rFonts w:ascii="Arial" w:hAnsi="Arial" w:cs="Arial"/>
          <w:color w:val="000000"/>
          <w:sz w:val="18"/>
          <w:szCs w:val="18"/>
        </w:rPr>
        <w:t>испрашивание</w:t>
      </w:r>
      <w:proofErr w:type="spellEnd"/>
      <w:r>
        <w:rPr>
          <w:rFonts w:ascii="Arial" w:hAnsi="Arial" w:cs="Arial"/>
          <w:color w:val="000000"/>
          <w:sz w:val="18"/>
          <w:szCs w:val="18"/>
        </w:rPr>
        <w:t xml:space="preserve">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 xml:space="preserve">Согласно пункту 2 примечания к статье 290 УК РФ под иностранным должностным лицом в указанной статье, статьях 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w:t>
      </w:r>
      <w:r>
        <w:rPr>
          <w:rFonts w:ascii="Arial" w:hAnsi="Arial" w:cs="Arial"/>
          <w:color w:val="000000"/>
          <w:sz w:val="18"/>
          <w:szCs w:val="18"/>
        </w:rPr>
        <w:lastRenderedPageBreak/>
        <w:t>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УК РФ также включает норму, предусматривающую ответственность за посредничество во взяточничестве (статья 291.1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Под коммерческим подкупом и взяткой в УК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статьях 204, 290, 291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В примечаниях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Вместе с тем, пунктом 22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Определение иностранного должностного лица и должностного лица публичной международной организации приведено в пункте 3 примечания к статье 19.28 КоАП РФ и совпадает с определением, закрепленным в пункте 2 примечания к статье 290 УК РФ.</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lastRenderedPageBreak/>
        <w:t>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hyperlink r:id="rId5" w:history="1">
        <w:r>
          <w:rPr>
            <w:rStyle w:val="a4"/>
            <w:rFonts w:ascii="Arial" w:hAnsi="Arial" w:cs="Arial"/>
            <w:color w:val="336699"/>
            <w:sz w:val="18"/>
            <w:szCs w:val="18"/>
          </w:rPr>
          <w:t>http://www.rosmintrud.ru/ministry/programms/gossluzhba/antikorr/5/0</w:t>
        </w:r>
      </w:hyperlink>
      <w:r>
        <w:rPr>
          <w:rFonts w:ascii="Arial" w:hAnsi="Arial" w:cs="Arial"/>
          <w:color w:val="000000"/>
          <w:sz w:val="18"/>
          <w:szCs w:val="18"/>
        </w:rPr>
        <w:t>).</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также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Мероприятия, включенные в комплекс мер, рекомендуется осуществлять по следующим направлениям:</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lastRenderedPageBreak/>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Основными задачами осуществления комплекса мер являются:</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b/>
          <w:bCs/>
          <w:color w:val="000000"/>
          <w:sz w:val="18"/>
          <w:szCs w:val="18"/>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u w:val="single"/>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Реализацию данного направления рекомендуется осуществлять посредством:</w:t>
      </w:r>
    </w:p>
    <w:p w:rsidR="000232C9" w:rsidRDefault="000232C9" w:rsidP="000232C9">
      <w:pPr>
        <w:numPr>
          <w:ilvl w:val="0"/>
          <w:numId w:val="2"/>
        </w:numPr>
        <w:spacing w:after="240" w:line="252" w:lineRule="atLeast"/>
        <w:ind w:left="0"/>
        <w:rPr>
          <w:rFonts w:ascii="Arial" w:hAnsi="Arial" w:cs="Arial"/>
          <w:color w:val="222222"/>
          <w:sz w:val="18"/>
          <w:szCs w:val="18"/>
        </w:rPr>
      </w:pPr>
      <w:r>
        <w:rPr>
          <w:rFonts w:ascii="Arial" w:hAnsi="Arial" w:cs="Arial"/>
          <w:color w:val="222222"/>
          <w:sz w:val="18"/>
          <w:szCs w:val="18"/>
        </w:rPr>
        <w:t>проведения серии учебно-практических семинаров (тренингов);</w:t>
      </w:r>
    </w:p>
    <w:p w:rsidR="000232C9" w:rsidRDefault="000232C9" w:rsidP="000232C9">
      <w:pPr>
        <w:numPr>
          <w:ilvl w:val="0"/>
          <w:numId w:val="2"/>
        </w:numPr>
        <w:spacing w:after="240" w:line="252" w:lineRule="atLeast"/>
        <w:ind w:left="0"/>
        <w:rPr>
          <w:rFonts w:ascii="Arial" w:hAnsi="Arial" w:cs="Arial"/>
          <w:color w:val="222222"/>
          <w:sz w:val="18"/>
          <w:szCs w:val="18"/>
        </w:rPr>
      </w:pPr>
      <w:r>
        <w:rPr>
          <w:rFonts w:ascii="Arial" w:hAnsi="Arial" w:cs="Arial"/>
          <w:color w:val="222222"/>
          <w:sz w:val="18"/>
          <w:szCs w:val="18"/>
        </w:rP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1.1. В рамках серии учебно-практических семинаров является целесообразным рассмотрение следующих вопросов.</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lastRenderedPageBreak/>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 xml:space="preserve">3) Понятие покушения на получение взятки. Необходимо обратить внимание служащих и работников на то, </w:t>
      </w:r>
      <w:proofErr w:type="gramStart"/>
      <w:r>
        <w:rPr>
          <w:rFonts w:ascii="Arial" w:hAnsi="Arial" w:cs="Arial"/>
          <w:color w:val="000000"/>
          <w:sz w:val="18"/>
          <w:szCs w:val="18"/>
        </w:rPr>
        <w:t>что</w:t>
      </w:r>
      <w:proofErr w:type="gramEnd"/>
      <w:r>
        <w:rPr>
          <w:rFonts w:ascii="Arial" w:hAnsi="Arial" w:cs="Arial"/>
          <w:color w:val="000000"/>
          <w:sz w:val="18"/>
          <w:szCs w:val="18"/>
        </w:rPr>
        <w:t xml:space="preserve">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 xml:space="preserve">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Pr>
          <w:rFonts w:ascii="Arial" w:hAnsi="Arial" w:cs="Arial"/>
          <w:color w:val="000000"/>
          <w:sz w:val="18"/>
          <w:szCs w:val="18"/>
        </w:rPr>
        <w:t>правоохраняемых</w:t>
      </w:r>
      <w:proofErr w:type="spellEnd"/>
      <w:r>
        <w:rPr>
          <w:rFonts w:ascii="Arial" w:hAnsi="Arial" w:cs="Arial"/>
          <w:color w:val="000000"/>
          <w:sz w:val="18"/>
          <w:szCs w:val="18"/>
        </w:rPr>
        <w:t xml:space="preserve"> интересов (пункт 15 Постановления Пленума ВС РФ № 6).</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7) Исторические материалы по вышеуказанным вопросам, изложенным в Своде законов Российской Империи (Том III).</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Так в частности предлагается подготовить памятки для служащих и работников по следующим вопросам:</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w:t>
      </w:r>
      <w:proofErr w:type="spellStart"/>
      <w:r>
        <w:rPr>
          <w:rFonts w:ascii="Arial" w:hAnsi="Arial" w:cs="Arial"/>
          <w:color w:val="000000"/>
          <w:sz w:val="18"/>
          <w:szCs w:val="18"/>
        </w:rPr>
        <w:t>КоАп</w:t>
      </w:r>
      <w:proofErr w:type="spellEnd"/>
      <w:r>
        <w:rPr>
          <w:rFonts w:ascii="Arial" w:hAnsi="Arial" w:cs="Arial"/>
          <w:color w:val="000000"/>
          <w:sz w:val="18"/>
          <w:szCs w:val="18"/>
        </w:rPr>
        <w:t xml:space="preserve"> РФ; пункты 9, 11, 15 Постановления Пленума ВС РФ № 6.</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u w:val="single"/>
        </w:rPr>
        <w:lastRenderedPageBreak/>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 xml:space="preserve">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w:t>
      </w:r>
      <w:proofErr w:type="gramStart"/>
      <w:r>
        <w:rPr>
          <w:rFonts w:ascii="Arial" w:hAnsi="Arial" w:cs="Arial"/>
          <w:color w:val="000000"/>
          <w:sz w:val="18"/>
          <w:szCs w:val="18"/>
        </w:rPr>
        <w:t>целесообразно осуществлять</w:t>
      </w:r>
      <w:proofErr w:type="gramEnd"/>
      <w:r>
        <w:rPr>
          <w:rFonts w:ascii="Arial" w:hAnsi="Arial" w:cs="Arial"/>
          <w:color w:val="000000"/>
          <w:sz w:val="18"/>
          <w:szCs w:val="18"/>
        </w:rPr>
        <w:t xml:space="preserve"> применяя следующие меры.</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В части организации семинаров (бесед, лекций, практических занятий) необходимо рассмотреть следующие вопросы.</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1) Порядок уведомления служащего и работника о фактах склонения к совершению коррупционного правонарушения.</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В ходе семинара, требуется:</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2) Порядок урегулирования конфликта интересов.</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В ходе семинара, необходимо:</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0232C9" w:rsidRDefault="000232C9" w:rsidP="000232C9">
      <w:pPr>
        <w:numPr>
          <w:ilvl w:val="0"/>
          <w:numId w:val="3"/>
        </w:numPr>
        <w:spacing w:after="240" w:line="252" w:lineRule="atLeast"/>
        <w:ind w:left="0"/>
        <w:rPr>
          <w:rFonts w:ascii="Arial" w:hAnsi="Arial" w:cs="Arial"/>
          <w:color w:val="222222"/>
          <w:sz w:val="18"/>
          <w:szCs w:val="18"/>
        </w:rPr>
      </w:pPr>
      <w:r>
        <w:rPr>
          <w:rFonts w:ascii="Arial" w:hAnsi="Arial" w:cs="Arial"/>
          <w:color w:val="222222"/>
          <w:sz w:val="18"/>
          <w:szCs w:val="18"/>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0232C9" w:rsidRDefault="000232C9" w:rsidP="000232C9">
      <w:pPr>
        <w:numPr>
          <w:ilvl w:val="0"/>
          <w:numId w:val="3"/>
        </w:numPr>
        <w:spacing w:after="240" w:line="252" w:lineRule="atLeast"/>
        <w:ind w:left="0"/>
        <w:rPr>
          <w:rFonts w:ascii="Arial" w:hAnsi="Arial" w:cs="Arial"/>
          <w:color w:val="222222"/>
          <w:sz w:val="18"/>
          <w:szCs w:val="18"/>
        </w:rPr>
      </w:pPr>
      <w:r>
        <w:rPr>
          <w:rFonts w:ascii="Arial" w:hAnsi="Arial" w:cs="Arial"/>
          <w:color w:val="222222"/>
          <w:sz w:val="18"/>
          <w:szCs w:val="18"/>
        </w:rP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0232C9" w:rsidRDefault="000232C9" w:rsidP="000232C9">
      <w:pPr>
        <w:numPr>
          <w:ilvl w:val="0"/>
          <w:numId w:val="3"/>
        </w:numPr>
        <w:spacing w:after="240" w:line="252" w:lineRule="atLeast"/>
        <w:ind w:left="0"/>
        <w:rPr>
          <w:rFonts w:ascii="Arial" w:hAnsi="Arial" w:cs="Arial"/>
          <w:color w:val="222222"/>
          <w:sz w:val="18"/>
          <w:szCs w:val="18"/>
        </w:rPr>
      </w:pPr>
      <w:r>
        <w:rPr>
          <w:rFonts w:ascii="Arial" w:hAnsi="Arial" w:cs="Arial"/>
          <w:color w:val="222222"/>
          <w:sz w:val="18"/>
          <w:szCs w:val="18"/>
        </w:rPr>
        <w:t xml:space="preserve">родственники служащего или работника соглашаются принять подарок от организации, которая извлекла, извлекает или может извлечь выгоду из </w:t>
      </w:r>
      <w:proofErr w:type="gramStart"/>
      <w:r>
        <w:rPr>
          <w:rFonts w:ascii="Arial" w:hAnsi="Arial" w:cs="Arial"/>
          <w:color w:val="222222"/>
          <w:sz w:val="18"/>
          <w:szCs w:val="18"/>
        </w:rPr>
        <w:t>его  решений</w:t>
      </w:r>
      <w:proofErr w:type="gramEnd"/>
      <w:r>
        <w:rPr>
          <w:rFonts w:ascii="Arial" w:hAnsi="Arial" w:cs="Arial"/>
          <w:color w:val="222222"/>
          <w:sz w:val="18"/>
          <w:szCs w:val="18"/>
        </w:rPr>
        <w:t xml:space="preserve"> или действий (бездействия) и т.д.;</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lastRenderedPageBreak/>
        <w:t>3) Действия и высказывания, которые могут быть восприняты окружающими как согласие принять взятку или как просьба о даче взятки.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В ходе семинара, является целесообразным, в частности: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 xml:space="preserve">К числу таких выражений относятся, </w:t>
      </w:r>
      <w:proofErr w:type="gramStart"/>
      <w:r>
        <w:rPr>
          <w:rFonts w:ascii="Arial" w:hAnsi="Arial" w:cs="Arial"/>
          <w:color w:val="000000"/>
          <w:sz w:val="18"/>
          <w:szCs w:val="18"/>
        </w:rPr>
        <w:t>например</w:t>
      </w:r>
      <w:proofErr w:type="gramEnd"/>
      <w:r>
        <w:rPr>
          <w:rFonts w:ascii="Arial" w:hAnsi="Arial" w:cs="Arial"/>
          <w:color w:val="000000"/>
          <w:sz w:val="18"/>
          <w:szCs w:val="18"/>
        </w:rPr>
        <w:t>: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 xml:space="preserve">К числу таких тем относятся, </w:t>
      </w:r>
      <w:proofErr w:type="gramStart"/>
      <w:r>
        <w:rPr>
          <w:rFonts w:ascii="Arial" w:hAnsi="Arial" w:cs="Arial"/>
          <w:color w:val="000000"/>
          <w:sz w:val="18"/>
          <w:szCs w:val="18"/>
        </w:rPr>
        <w:t>например</w:t>
      </w:r>
      <w:proofErr w:type="gramEnd"/>
      <w:r>
        <w:rPr>
          <w:rFonts w:ascii="Arial" w:hAnsi="Arial" w:cs="Arial"/>
          <w:color w:val="000000"/>
          <w:sz w:val="18"/>
          <w:szCs w:val="18"/>
        </w:rPr>
        <w:t>:</w:t>
      </w:r>
    </w:p>
    <w:p w:rsidR="000232C9" w:rsidRDefault="000232C9" w:rsidP="000232C9">
      <w:pPr>
        <w:numPr>
          <w:ilvl w:val="0"/>
          <w:numId w:val="4"/>
        </w:numPr>
        <w:spacing w:after="240" w:line="252" w:lineRule="atLeast"/>
        <w:ind w:left="0"/>
        <w:rPr>
          <w:rFonts w:ascii="Arial" w:hAnsi="Arial" w:cs="Arial"/>
          <w:color w:val="222222"/>
          <w:sz w:val="18"/>
          <w:szCs w:val="18"/>
        </w:rPr>
      </w:pPr>
      <w:r>
        <w:rPr>
          <w:rFonts w:ascii="Arial" w:hAnsi="Arial" w:cs="Arial"/>
          <w:color w:val="222222"/>
          <w:sz w:val="18"/>
          <w:szCs w:val="18"/>
        </w:rPr>
        <w:t>низкий уровень заработной платы служащего, работника и нехватка денежных средств на реализацию тех или иных нужд;</w:t>
      </w:r>
    </w:p>
    <w:p w:rsidR="000232C9" w:rsidRDefault="000232C9" w:rsidP="000232C9">
      <w:pPr>
        <w:numPr>
          <w:ilvl w:val="0"/>
          <w:numId w:val="4"/>
        </w:numPr>
        <w:spacing w:after="240" w:line="252" w:lineRule="atLeast"/>
        <w:ind w:left="0"/>
        <w:rPr>
          <w:rFonts w:ascii="Arial" w:hAnsi="Arial" w:cs="Arial"/>
          <w:color w:val="222222"/>
          <w:sz w:val="18"/>
          <w:szCs w:val="18"/>
        </w:rPr>
      </w:pPr>
      <w:r>
        <w:rPr>
          <w:rFonts w:ascii="Arial" w:hAnsi="Arial" w:cs="Arial"/>
          <w:color w:val="222222"/>
          <w:sz w:val="18"/>
          <w:szCs w:val="18"/>
        </w:rPr>
        <w:t>желание приобрести то или иное имущество, получить ту или иную услугу, отправиться в туристическую поездку;</w:t>
      </w:r>
    </w:p>
    <w:p w:rsidR="000232C9" w:rsidRDefault="000232C9" w:rsidP="000232C9">
      <w:pPr>
        <w:numPr>
          <w:ilvl w:val="0"/>
          <w:numId w:val="4"/>
        </w:numPr>
        <w:spacing w:after="240" w:line="252" w:lineRule="atLeast"/>
        <w:ind w:left="0"/>
        <w:rPr>
          <w:rFonts w:ascii="Arial" w:hAnsi="Arial" w:cs="Arial"/>
          <w:color w:val="222222"/>
          <w:sz w:val="18"/>
          <w:szCs w:val="18"/>
        </w:rPr>
      </w:pPr>
      <w:r>
        <w:rPr>
          <w:rFonts w:ascii="Arial" w:hAnsi="Arial" w:cs="Arial"/>
          <w:color w:val="222222"/>
          <w:sz w:val="18"/>
          <w:szCs w:val="18"/>
        </w:rPr>
        <w:t>отсутствие работы у родственников служащего, работника;</w:t>
      </w:r>
    </w:p>
    <w:p w:rsidR="000232C9" w:rsidRDefault="000232C9" w:rsidP="000232C9">
      <w:pPr>
        <w:numPr>
          <w:ilvl w:val="0"/>
          <w:numId w:val="4"/>
        </w:numPr>
        <w:spacing w:after="240" w:line="252" w:lineRule="atLeast"/>
        <w:ind w:left="0"/>
        <w:rPr>
          <w:rFonts w:ascii="Arial" w:hAnsi="Arial" w:cs="Arial"/>
          <w:color w:val="222222"/>
          <w:sz w:val="18"/>
          <w:szCs w:val="18"/>
        </w:rPr>
      </w:pPr>
      <w:r>
        <w:rPr>
          <w:rFonts w:ascii="Arial" w:hAnsi="Arial" w:cs="Arial"/>
          <w:color w:val="222222"/>
          <w:sz w:val="18"/>
          <w:szCs w:val="18"/>
        </w:rPr>
        <w:t>необходимость поступления детей служащего, работника в образовательные учреждения и т.д.</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 xml:space="preserve">К числу таких предложений относятся, </w:t>
      </w:r>
      <w:proofErr w:type="gramStart"/>
      <w:r>
        <w:rPr>
          <w:rFonts w:ascii="Arial" w:hAnsi="Arial" w:cs="Arial"/>
          <w:color w:val="000000"/>
          <w:sz w:val="18"/>
          <w:szCs w:val="18"/>
        </w:rPr>
        <w:t>например</w:t>
      </w:r>
      <w:proofErr w:type="gramEnd"/>
      <w:r>
        <w:rPr>
          <w:rFonts w:ascii="Arial" w:hAnsi="Arial" w:cs="Arial"/>
          <w:color w:val="000000"/>
          <w:sz w:val="18"/>
          <w:szCs w:val="18"/>
        </w:rPr>
        <w:t xml:space="preserve"> предложения:</w:t>
      </w:r>
    </w:p>
    <w:p w:rsidR="000232C9" w:rsidRDefault="000232C9" w:rsidP="000232C9">
      <w:pPr>
        <w:numPr>
          <w:ilvl w:val="0"/>
          <w:numId w:val="5"/>
        </w:numPr>
        <w:spacing w:after="240" w:line="252" w:lineRule="atLeast"/>
        <w:ind w:left="0"/>
        <w:rPr>
          <w:rFonts w:ascii="Arial" w:hAnsi="Arial" w:cs="Arial"/>
          <w:color w:val="222222"/>
          <w:sz w:val="18"/>
          <w:szCs w:val="18"/>
        </w:rPr>
      </w:pPr>
      <w:r>
        <w:rPr>
          <w:rFonts w:ascii="Arial" w:hAnsi="Arial" w:cs="Arial"/>
          <w:color w:val="222222"/>
          <w:sz w:val="18"/>
          <w:szCs w:val="18"/>
        </w:rPr>
        <w:t>предоставить служащему, работнику и/или его родственникам скидку;</w:t>
      </w:r>
    </w:p>
    <w:p w:rsidR="000232C9" w:rsidRDefault="000232C9" w:rsidP="000232C9">
      <w:pPr>
        <w:numPr>
          <w:ilvl w:val="0"/>
          <w:numId w:val="5"/>
        </w:numPr>
        <w:spacing w:after="240" w:line="252" w:lineRule="atLeast"/>
        <w:ind w:left="0"/>
        <w:rPr>
          <w:rFonts w:ascii="Arial" w:hAnsi="Arial" w:cs="Arial"/>
          <w:color w:val="222222"/>
          <w:sz w:val="18"/>
          <w:szCs w:val="18"/>
        </w:rPr>
      </w:pPr>
      <w:r>
        <w:rPr>
          <w:rFonts w:ascii="Arial" w:hAnsi="Arial" w:cs="Arial"/>
          <w:color w:val="222222"/>
          <w:sz w:val="18"/>
          <w:szCs w:val="18"/>
        </w:rPr>
        <w:t xml:space="preserve">воспользоваться услугами конкретной </w:t>
      </w:r>
      <w:proofErr w:type="gramStart"/>
      <w:r>
        <w:rPr>
          <w:rFonts w:ascii="Arial" w:hAnsi="Arial" w:cs="Arial"/>
          <w:color w:val="222222"/>
          <w:sz w:val="18"/>
          <w:szCs w:val="18"/>
        </w:rPr>
        <w:t>компании  и</w:t>
      </w:r>
      <w:proofErr w:type="gramEnd"/>
      <w:r>
        <w:rPr>
          <w:rFonts w:ascii="Arial" w:hAnsi="Arial" w:cs="Arial"/>
          <w:color w:val="222222"/>
          <w:sz w:val="18"/>
          <w:szCs w:val="18"/>
        </w:rPr>
        <w:t xml:space="preserve"> (или) экспертов для устранения выявленных нарушений, выполнения работ в рамках государственного контракта, подготовки необходимых документов;</w:t>
      </w:r>
    </w:p>
    <w:p w:rsidR="000232C9" w:rsidRDefault="000232C9" w:rsidP="000232C9">
      <w:pPr>
        <w:numPr>
          <w:ilvl w:val="0"/>
          <w:numId w:val="5"/>
        </w:numPr>
        <w:spacing w:after="240" w:line="252" w:lineRule="atLeast"/>
        <w:ind w:left="0"/>
        <w:rPr>
          <w:rFonts w:ascii="Arial" w:hAnsi="Arial" w:cs="Arial"/>
          <w:color w:val="222222"/>
          <w:sz w:val="18"/>
          <w:szCs w:val="18"/>
        </w:rPr>
      </w:pPr>
      <w:r>
        <w:rPr>
          <w:rFonts w:ascii="Arial" w:hAnsi="Arial" w:cs="Arial"/>
          <w:color w:val="222222"/>
          <w:sz w:val="18"/>
          <w:szCs w:val="18"/>
        </w:rPr>
        <w:t>внести деньги в конкретный благотворительный фонд;</w:t>
      </w:r>
    </w:p>
    <w:p w:rsidR="000232C9" w:rsidRDefault="000232C9" w:rsidP="000232C9">
      <w:pPr>
        <w:numPr>
          <w:ilvl w:val="0"/>
          <w:numId w:val="5"/>
        </w:numPr>
        <w:spacing w:after="240" w:line="252" w:lineRule="atLeast"/>
        <w:ind w:left="0"/>
        <w:rPr>
          <w:rFonts w:ascii="Arial" w:hAnsi="Arial" w:cs="Arial"/>
          <w:color w:val="222222"/>
          <w:sz w:val="18"/>
          <w:szCs w:val="18"/>
        </w:rPr>
      </w:pPr>
      <w:r>
        <w:rPr>
          <w:rFonts w:ascii="Arial" w:hAnsi="Arial" w:cs="Arial"/>
          <w:color w:val="222222"/>
          <w:sz w:val="18"/>
          <w:szCs w:val="18"/>
        </w:rPr>
        <w:t>поддержать конкретную спортивную команду и т.д.</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 xml:space="preserve">К числу таких действий относятся, </w:t>
      </w:r>
      <w:proofErr w:type="gramStart"/>
      <w:r>
        <w:rPr>
          <w:rFonts w:ascii="Arial" w:hAnsi="Arial" w:cs="Arial"/>
          <w:color w:val="000000"/>
          <w:sz w:val="18"/>
          <w:szCs w:val="18"/>
        </w:rPr>
        <w:t>например</w:t>
      </w:r>
      <w:proofErr w:type="gramEnd"/>
      <w:r>
        <w:rPr>
          <w:rFonts w:ascii="Arial" w:hAnsi="Arial" w:cs="Arial"/>
          <w:color w:val="000000"/>
          <w:sz w:val="18"/>
          <w:szCs w:val="18"/>
        </w:rPr>
        <w:t>:</w:t>
      </w:r>
    </w:p>
    <w:p w:rsidR="000232C9" w:rsidRDefault="000232C9" w:rsidP="000232C9">
      <w:pPr>
        <w:numPr>
          <w:ilvl w:val="0"/>
          <w:numId w:val="6"/>
        </w:numPr>
        <w:spacing w:after="240" w:line="252" w:lineRule="atLeast"/>
        <w:ind w:left="0"/>
        <w:rPr>
          <w:rFonts w:ascii="Arial" w:hAnsi="Arial" w:cs="Arial"/>
          <w:color w:val="222222"/>
          <w:sz w:val="18"/>
          <w:szCs w:val="18"/>
        </w:rPr>
      </w:pPr>
      <w:r>
        <w:rPr>
          <w:rFonts w:ascii="Arial" w:hAnsi="Arial" w:cs="Arial"/>
          <w:color w:val="222222"/>
          <w:sz w:val="18"/>
          <w:szCs w:val="18"/>
        </w:rPr>
        <w:t>регулярное получение подарков, даже (если речь идет не о государственном гражданском служащем) стоимостью менее 3000 рублей;</w:t>
      </w:r>
    </w:p>
    <w:p w:rsidR="000232C9" w:rsidRDefault="000232C9" w:rsidP="000232C9">
      <w:pPr>
        <w:numPr>
          <w:ilvl w:val="0"/>
          <w:numId w:val="6"/>
        </w:numPr>
        <w:spacing w:after="240" w:line="252" w:lineRule="atLeast"/>
        <w:ind w:left="0"/>
        <w:rPr>
          <w:rFonts w:ascii="Arial" w:hAnsi="Arial" w:cs="Arial"/>
          <w:color w:val="222222"/>
          <w:sz w:val="18"/>
          <w:szCs w:val="18"/>
        </w:rPr>
      </w:pPr>
      <w:r>
        <w:rPr>
          <w:rFonts w:ascii="Arial" w:hAnsi="Arial" w:cs="Arial"/>
          <w:color w:val="222222"/>
          <w:sz w:val="18"/>
          <w:szCs w:val="18"/>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lastRenderedPageBreak/>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2) о типовых случаях конфликтов интересов и порядок их урегулирования;</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u w:val="single"/>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w:t>
      </w:r>
      <w:proofErr w:type="spellStart"/>
      <w:r>
        <w:rPr>
          <w:rFonts w:ascii="Arial" w:hAnsi="Arial" w:cs="Arial"/>
          <w:color w:val="000000"/>
          <w:sz w:val="18"/>
          <w:szCs w:val="18"/>
        </w:rPr>
        <w:t>расхадах</w:t>
      </w:r>
      <w:proofErr w:type="spellEnd"/>
      <w:r>
        <w:rPr>
          <w:rFonts w:ascii="Arial" w:hAnsi="Arial" w:cs="Arial"/>
          <w:color w:val="000000"/>
          <w:sz w:val="18"/>
          <w:szCs w:val="18"/>
        </w:rPr>
        <w:t>,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В связи с этим необходимо, в частности:</w:t>
      </w:r>
    </w:p>
    <w:p w:rsidR="000232C9" w:rsidRDefault="000232C9" w:rsidP="000232C9">
      <w:pPr>
        <w:numPr>
          <w:ilvl w:val="0"/>
          <w:numId w:val="7"/>
        </w:numPr>
        <w:spacing w:after="240" w:line="252" w:lineRule="atLeast"/>
        <w:ind w:left="0"/>
        <w:rPr>
          <w:rFonts w:ascii="Arial" w:hAnsi="Arial" w:cs="Arial"/>
          <w:color w:val="222222"/>
          <w:sz w:val="18"/>
          <w:szCs w:val="18"/>
        </w:rPr>
      </w:pPr>
      <w:r>
        <w:rPr>
          <w:rFonts w:ascii="Arial" w:hAnsi="Arial" w:cs="Arial"/>
          <w:color w:val="222222"/>
          <w:sz w:val="18"/>
          <w:szCs w:val="18"/>
        </w:rPr>
        <w:t>закрепить требования о конфиденциальности информации о личности заявителя;</w:t>
      </w:r>
    </w:p>
    <w:p w:rsidR="000232C9" w:rsidRDefault="000232C9" w:rsidP="000232C9">
      <w:pPr>
        <w:numPr>
          <w:ilvl w:val="0"/>
          <w:numId w:val="7"/>
        </w:numPr>
        <w:spacing w:after="240" w:line="252" w:lineRule="atLeast"/>
        <w:ind w:left="0"/>
        <w:rPr>
          <w:rFonts w:ascii="Arial" w:hAnsi="Arial" w:cs="Arial"/>
          <w:color w:val="222222"/>
          <w:sz w:val="18"/>
          <w:szCs w:val="18"/>
        </w:rPr>
      </w:pPr>
      <w:r>
        <w:rPr>
          <w:rFonts w:ascii="Arial" w:hAnsi="Arial" w:cs="Arial"/>
          <w:color w:val="222222"/>
          <w:sz w:val="18"/>
          <w:szCs w:val="18"/>
        </w:rPr>
        <w:t>установить режим доступа к журналу входящей корреспонденции, содержащему данные, позволяющие идентифицировать личность заявителя;</w:t>
      </w:r>
    </w:p>
    <w:p w:rsidR="000232C9" w:rsidRDefault="000232C9" w:rsidP="000232C9">
      <w:pPr>
        <w:numPr>
          <w:ilvl w:val="0"/>
          <w:numId w:val="7"/>
        </w:numPr>
        <w:spacing w:after="240" w:line="252" w:lineRule="atLeast"/>
        <w:ind w:left="0"/>
        <w:rPr>
          <w:rFonts w:ascii="Arial" w:hAnsi="Arial" w:cs="Arial"/>
          <w:color w:val="222222"/>
          <w:sz w:val="18"/>
          <w:szCs w:val="18"/>
        </w:rPr>
      </w:pPr>
      <w:r>
        <w:rPr>
          <w:rFonts w:ascii="Arial" w:hAnsi="Arial" w:cs="Arial"/>
          <w:color w:val="222222"/>
          <w:sz w:val="18"/>
          <w:szCs w:val="18"/>
        </w:rP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u w:val="single"/>
        </w:rPr>
        <w:lastRenderedPageBreak/>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В число мер по реализации данного направления необходимо включить следующие.</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0232C9" w:rsidRDefault="000232C9" w:rsidP="000232C9">
      <w:pPr>
        <w:numPr>
          <w:ilvl w:val="0"/>
          <w:numId w:val="8"/>
        </w:numPr>
        <w:spacing w:after="240" w:line="252" w:lineRule="atLeast"/>
        <w:ind w:left="0"/>
        <w:rPr>
          <w:rFonts w:ascii="Arial" w:hAnsi="Arial" w:cs="Arial"/>
          <w:color w:val="222222"/>
          <w:sz w:val="18"/>
          <w:szCs w:val="18"/>
        </w:rPr>
      </w:pPr>
      <w:r>
        <w:rPr>
          <w:rFonts w:ascii="Arial" w:hAnsi="Arial" w:cs="Arial"/>
          <w:color w:val="222222"/>
          <w:sz w:val="18"/>
          <w:szCs w:val="18"/>
        </w:rPr>
        <w:t>дача взятки должностному лицу наказывается лишением свободы.</w:t>
      </w:r>
    </w:p>
    <w:p w:rsidR="000232C9" w:rsidRDefault="000232C9" w:rsidP="000232C9">
      <w:pPr>
        <w:numPr>
          <w:ilvl w:val="0"/>
          <w:numId w:val="8"/>
        </w:numPr>
        <w:spacing w:after="240" w:line="252" w:lineRule="atLeast"/>
        <w:ind w:left="0"/>
        <w:rPr>
          <w:rFonts w:ascii="Arial" w:hAnsi="Arial" w:cs="Arial"/>
          <w:color w:val="222222"/>
          <w:sz w:val="18"/>
          <w:szCs w:val="18"/>
        </w:rPr>
      </w:pPr>
      <w:r>
        <w:rPr>
          <w:rFonts w:ascii="Arial" w:hAnsi="Arial" w:cs="Arial"/>
          <w:color w:val="222222"/>
          <w:sz w:val="18"/>
          <w:szCs w:val="18"/>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0232C9" w:rsidRDefault="000232C9" w:rsidP="000232C9">
      <w:pPr>
        <w:numPr>
          <w:ilvl w:val="0"/>
          <w:numId w:val="8"/>
        </w:numPr>
        <w:spacing w:after="240" w:line="252" w:lineRule="atLeast"/>
        <w:ind w:left="0"/>
        <w:rPr>
          <w:rFonts w:ascii="Arial" w:hAnsi="Arial" w:cs="Arial"/>
          <w:color w:val="222222"/>
          <w:sz w:val="18"/>
          <w:szCs w:val="18"/>
        </w:rPr>
      </w:pPr>
      <w:r>
        <w:rPr>
          <w:rFonts w:ascii="Arial" w:hAnsi="Arial" w:cs="Arial"/>
          <w:color w:val="222222"/>
          <w:sz w:val="18"/>
          <w:szCs w:val="18"/>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0232C9" w:rsidRDefault="000232C9" w:rsidP="000232C9">
      <w:pPr>
        <w:pStyle w:val="a3"/>
        <w:spacing w:before="240" w:beforeAutospacing="0" w:after="240" w:afterAutospacing="0" w:line="252" w:lineRule="atLeast"/>
        <w:rPr>
          <w:rFonts w:ascii="Arial" w:hAnsi="Arial" w:cs="Arial"/>
          <w:color w:val="000000"/>
          <w:sz w:val="18"/>
          <w:szCs w:val="18"/>
        </w:rPr>
      </w:pPr>
      <w:r>
        <w:rPr>
          <w:rFonts w:ascii="Arial" w:hAnsi="Arial" w:cs="Arial"/>
          <w:color w:val="000000"/>
          <w:sz w:val="18"/>
          <w:szCs w:val="18"/>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EA6A8F" w:rsidRPr="000232C9" w:rsidRDefault="00EA6A8F" w:rsidP="000232C9">
      <w:bookmarkStart w:id="0" w:name="_GoBack"/>
      <w:bookmarkEnd w:id="0"/>
    </w:p>
    <w:sectPr w:rsidR="00EA6A8F" w:rsidRPr="00023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22750"/>
    <w:multiLevelType w:val="multilevel"/>
    <w:tmpl w:val="D754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87D18"/>
    <w:multiLevelType w:val="multilevel"/>
    <w:tmpl w:val="C01C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C28B6"/>
    <w:multiLevelType w:val="multilevel"/>
    <w:tmpl w:val="04CC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45B9C"/>
    <w:multiLevelType w:val="multilevel"/>
    <w:tmpl w:val="5136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562BD"/>
    <w:multiLevelType w:val="multilevel"/>
    <w:tmpl w:val="5592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9144A"/>
    <w:multiLevelType w:val="multilevel"/>
    <w:tmpl w:val="3A28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E74EF"/>
    <w:multiLevelType w:val="multilevel"/>
    <w:tmpl w:val="9A78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E29FD"/>
    <w:multiLevelType w:val="multilevel"/>
    <w:tmpl w:val="FBEE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93"/>
    <w:rsid w:val="000232C9"/>
    <w:rsid w:val="00BA4B93"/>
    <w:rsid w:val="00D92B41"/>
    <w:rsid w:val="00EA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A0BD1-37F6-45CB-A28A-1844A870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232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2B41"/>
    <w:rPr>
      <w:color w:val="0000FF"/>
      <w:u w:val="single"/>
    </w:rPr>
  </w:style>
  <w:style w:type="character" w:customStyle="1" w:styleId="20">
    <w:name w:val="Заголовок 2 Знак"/>
    <w:basedOn w:val="a0"/>
    <w:link w:val="2"/>
    <w:uiPriority w:val="9"/>
    <w:rsid w:val="000232C9"/>
    <w:rPr>
      <w:rFonts w:ascii="Times New Roman" w:eastAsia="Times New Roman" w:hAnsi="Times New Roman" w:cs="Times New Roman"/>
      <w:b/>
      <w:bCs/>
      <w:sz w:val="36"/>
      <w:szCs w:val="36"/>
      <w:lang w:eastAsia="ru-RU"/>
    </w:rPr>
  </w:style>
  <w:style w:type="paragraph" w:customStyle="1" w:styleId="shorttitle-doc">
    <w:name w:val="shorttitle-doc"/>
    <w:basedOn w:val="a"/>
    <w:rsid w:val="000232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299">
      <w:bodyDiv w:val="1"/>
      <w:marLeft w:val="0"/>
      <w:marRight w:val="0"/>
      <w:marTop w:val="0"/>
      <w:marBottom w:val="0"/>
      <w:divBdr>
        <w:top w:val="none" w:sz="0" w:space="0" w:color="auto"/>
        <w:left w:val="none" w:sz="0" w:space="0" w:color="auto"/>
        <w:bottom w:val="none" w:sz="0" w:space="0" w:color="auto"/>
        <w:right w:val="none" w:sz="0" w:space="0" w:color="auto"/>
      </w:divBdr>
      <w:divsChild>
        <w:div w:id="975136904">
          <w:marLeft w:val="0"/>
          <w:marRight w:val="0"/>
          <w:marTop w:val="150"/>
          <w:marBottom w:val="0"/>
          <w:divBdr>
            <w:top w:val="none" w:sz="0" w:space="0" w:color="auto"/>
            <w:left w:val="none" w:sz="0" w:space="0" w:color="auto"/>
            <w:bottom w:val="none" w:sz="0" w:space="0" w:color="auto"/>
            <w:right w:val="none" w:sz="0" w:space="0" w:color="auto"/>
          </w:divBdr>
        </w:div>
        <w:div w:id="1069425289">
          <w:marLeft w:val="0"/>
          <w:marRight w:val="0"/>
          <w:marTop w:val="300"/>
          <w:marBottom w:val="300"/>
          <w:divBdr>
            <w:top w:val="none" w:sz="0" w:space="0" w:color="auto"/>
            <w:left w:val="none" w:sz="0" w:space="0" w:color="auto"/>
            <w:bottom w:val="none" w:sz="0" w:space="0" w:color="auto"/>
            <w:right w:val="none" w:sz="0" w:space="0" w:color="auto"/>
          </w:divBdr>
          <w:divsChild>
            <w:div w:id="1288586964">
              <w:marLeft w:val="0"/>
              <w:marRight w:val="0"/>
              <w:marTop w:val="0"/>
              <w:marBottom w:val="0"/>
              <w:divBdr>
                <w:top w:val="none" w:sz="0" w:space="0" w:color="auto"/>
                <w:left w:val="none" w:sz="0" w:space="0" w:color="auto"/>
                <w:bottom w:val="none" w:sz="0" w:space="0" w:color="auto"/>
                <w:right w:val="none" w:sz="0" w:space="0" w:color="auto"/>
              </w:divBdr>
            </w:div>
            <w:div w:id="1390025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67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smintrud.ru/ministry/programms/gossluzhba/antikorr/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4670</Words>
  <Characters>26619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2016-02-25T07:34:00Z</dcterms:created>
  <dcterms:modified xsi:type="dcterms:W3CDTF">2016-02-25T07:34:00Z</dcterms:modified>
</cp:coreProperties>
</file>